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348716946" name="Picture">
</wp:docPr>
                  <a:graphic>
                    <a:graphicData uri="http://schemas.openxmlformats.org/drawingml/2006/picture">
                      <pic:pic>
                        <pic:nvPicPr>
                          <pic:cNvPr id="1348716946"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424.25.00288 Сервисный контракт для серверного оборудования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424.25.00288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424.25.00288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424.25.00288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424.25.00288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424.25.00288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